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07B7" w14:textId="4193EA1D" w:rsidR="00B019ED" w:rsidRPr="0046051A" w:rsidRDefault="00654150" w:rsidP="0065415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6051A">
        <w:rPr>
          <w:rFonts w:ascii="Times New Roman" w:hAnsi="Times New Roman" w:cs="Times New Roman"/>
          <w:b/>
          <w:bCs/>
          <w:sz w:val="22"/>
          <w:szCs w:val="22"/>
        </w:rPr>
        <w:t xml:space="preserve">MTF Research Summary </w:t>
      </w:r>
    </w:p>
    <w:p w14:paraId="43270A02" w14:textId="7871AEFE" w:rsidR="00654150" w:rsidRPr="0046051A" w:rsidRDefault="00654150" w:rsidP="006541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46051A">
        <w:rPr>
          <w:rFonts w:ascii="Times New Roman" w:hAnsi="Times New Roman" w:cs="Times New Roman"/>
          <w:sz w:val="22"/>
          <w:szCs w:val="22"/>
        </w:rPr>
        <w:t>John N. Rogers, III, Ryan Bearss, Jackie Guevara, and Evan Rogers</w:t>
      </w:r>
    </w:p>
    <w:p w14:paraId="18514A43" w14:textId="19C8F855" w:rsidR="00654150" w:rsidRPr="0046051A" w:rsidRDefault="00654150" w:rsidP="006541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46051A">
        <w:rPr>
          <w:rFonts w:ascii="Times New Roman" w:hAnsi="Times New Roman" w:cs="Times New Roman"/>
          <w:sz w:val="22"/>
          <w:szCs w:val="22"/>
        </w:rPr>
        <w:t>Michigan State University</w:t>
      </w:r>
    </w:p>
    <w:p w14:paraId="5FDADCBB" w14:textId="70F11637" w:rsidR="00654150" w:rsidRPr="0046051A" w:rsidRDefault="00654150" w:rsidP="006541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46051A">
        <w:rPr>
          <w:rFonts w:ascii="Times New Roman" w:hAnsi="Times New Roman" w:cs="Times New Roman"/>
          <w:sz w:val="22"/>
          <w:szCs w:val="22"/>
        </w:rPr>
        <w:t>January 2026</w:t>
      </w:r>
    </w:p>
    <w:p w14:paraId="2965D86A" w14:textId="77777777" w:rsidR="00654150" w:rsidRPr="0046051A" w:rsidRDefault="00654150" w:rsidP="006541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14:paraId="588B7F83" w14:textId="44520293" w:rsidR="00C36408" w:rsidRPr="0046051A" w:rsidRDefault="00C36408" w:rsidP="00C36408">
      <w:pPr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6051A">
        <w:rPr>
          <w:rFonts w:ascii="Times New Roman" w:hAnsi="Times New Roman" w:cs="Times New Roman"/>
          <w:b/>
          <w:bCs/>
          <w:sz w:val="22"/>
          <w:szCs w:val="22"/>
        </w:rPr>
        <w:t xml:space="preserve">Research background: </w:t>
      </w:r>
      <w:r w:rsidR="005C011B" w:rsidRPr="0046051A">
        <w:rPr>
          <w:rFonts w:ascii="Times New Roman" w:hAnsi="Times New Roman" w:cs="Times New Roman"/>
          <w:sz w:val="22"/>
          <w:szCs w:val="22"/>
        </w:rPr>
        <w:t>Since initiating the FIFA World Cup 2026 research program in 2022, our work primarily focused on the establishment of sod on plastic (SOP), including both stabilized and non-stabilized systems. In 2025, this body of work was largely completed, and emphasis transitioned to post-installation management.</w:t>
      </w:r>
    </w:p>
    <w:p w14:paraId="78185CF8" w14:textId="77777777" w:rsidR="00C36408" w:rsidRPr="0046051A" w:rsidRDefault="00C36408" w:rsidP="00C3640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0ED5725A" w14:textId="0790E073" w:rsidR="005C011B" w:rsidRPr="0046051A" w:rsidRDefault="005C011B" w:rsidP="00C3640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46051A">
        <w:rPr>
          <w:rFonts w:ascii="Times New Roman" w:hAnsi="Times New Roman" w:cs="Times New Roman"/>
          <w:b/>
          <w:bCs/>
          <w:sz w:val="22"/>
          <w:szCs w:val="22"/>
        </w:rPr>
        <w:t>Project updates:</w:t>
      </w:r>
    </w:p>
    <w:p w14:paraId="20AAEDD2" w14:textId="77777777" w:rsidR="005C011B" w:rsidRPr="0046051A" w:rsidRDefault="005C011B" w:rsidP="00C3640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604D4C1E" w14:textId="137C2B8A" w:rsidR="00D27334" w:rsidRPr="0046051A" w:rsidRDefault="005C011B" w:rsidP="00C36408">
      <w:pPr>
        <w:spacing w:after="0" w:line="240" w:lineRule="auto"/>
        <w:contextualSpacing/>
        <w:rPr>
          <w:rFonts w:ascii="Times New Roman" w:hAnsi="Times New Roman" w:cs="Times New Roman"/>
          <w:bCs/>
          <w:sz w:val="22"/>
          <w:szCs w:val="22"/>
        </w:rPr>
      </w:pPr>
      <w:r w:rsidRPr="0046051A">
        <w:rPr>
          <w:rFonts w:ascii="Times New Roman" w:hAnsi="Times New Roman" w:cs="Times New Roman"/>
          <w:b/>
          <w:bCs/>
          <w:sz w:val="22"/>
          <w:szCs w:val="22"/>
          <w:u w:val="single"/>
        </w:rPr>
        <w:t>Study #1</w:t>
      </w:r>
      <w:r w:rsidR="00654150" w:rsidRPr="0046051A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C36408" w:rsidRPr="0046051A">
        <w:rPr>
          <w:rFonts w:ascii="Times New Roman" w:hAnsi="Times New Roman" w:cs="Times New Roman"/>
          <w:bCs/>
          <w:sz w:val="22"/>
          <w:szCs w:val="22"/>
        </w:rPr>
        <w:t>Strategies for optimizing hybrid carpet-mat hygiene of cool-season mixes grown on plastic during establishment</w:t>
      </w:r>
    </w:p>
    <w:p w14:paraId="55538DF3" w14:textId="77777777" w:rsidR="005C011B" w:rsidRPr="0046051A" w:rsidRDefault="005C011B" w:rsidP="00C36408">
      <w:pPr>
        <w:spacing w:after="0" w:line="240" w:lineRule="auto"/>
        <w:contextualSpacing/>
        <w:rPr>
          <w:rFonts w:ascii="Times New Roman" w:hAnsi="Times New Roman" w:cs="Times New Roman"/>
          <w:bCs/>
          <w:sz w:val="22"/>
          <w:szCs w:val="22"/>
        </w:rPr>
      </w:pPr>
    </w:p>
    <w:p w14:paraId="68C31334" w14:textId="6FCCD3B1" w:rsidR="00C36408" w:rsidRPr="0046051A" w:rsidRDefault="00D27334" w:rsidP="00E77C0D">
      <w:pPr>
        <w:spacing w:after="0" w:line="240" w:lineRule="auto"/>
        <w:contextualSpacing/>
        <w:rPr>
          <w:rFonts w:ascii="Times New Roman" w:hAnsi="Times New Roman" w:cs="Times New Roman"/>
          <w:bCs/>
          <w:sz w:val="22"/>
          <w:szCs w:val="22"/>
        </w:rPr>
      </w:pPr>
      <w:r w:rsidRPr="0046051A">
        <w:rPr>
          <w:rFonts w:ascii="Times New Roman" w:hAnsi="Times New Roman" w:cs="Times New Roman"/>
          <w:bCs/>
          <w:sz w:val="22"/>
          <w:szCs w:val="22"/>
        </w:rPr>
        <w:t xml:space="preserve">The objective of this research was to identify optimal strategies and frequencies for hygiene maintenance during the establishment of hybrid systems. </w:t>
      </w:r>
      <w:r w:rsidR="00E51054" w:rsidRPr="0046051A">
        <w:rPr>
          <w:rFonts w:ascii="Times New Roman" w:hAnsi="Times New Roman" w:cs="Times New Roman"/>
          <w:bCs/>
          <w:sz w:val="22"/>
          <w:szCs w:val="22"/>
        </w:rPr>
        <w:t xml:space="preserve">The experiment was initiated in spring 2024 and will continue through summer 2026. For establishment, the HERO 127.127 hybrid carpet system was installed over a 3.5-mm blinding layer of USGA 90/10 </w:t>
      </w:r>
      <w:r w:rsidR="006346FB" w:rsidRPr="0046051A">
        <w:rPr>
          <w:rFonts w:ascii="Times New Roman" w:hAnsi="Times New Roman" w:cs="Times New Roman"/>
          <w:bCs/>
          <w:sz w:val="22"/>
          <w:szCs w:val="22"/>
        </w:rPr>
        <w:t>(</w:t>
      </w:r>
      <w:r w:rsidR="00E51054" w:rsidRPr="0046051A">
        <w:rPr>
          <w:rFonts w:ascii="Times New Roman" w:hAnsi="Times New Roman" w:cs="Times New Roman"/>
          <w:bCs/>
          <w:sz w:val="22"/>
          <w:szCs w:val="22"/>
        </w:rPr>
        <w:t>sand</w:t>
      </w:r>
      <w:r w:rsidR="006346FB" w:rsidRPr="0046051A">
        <w:rPr>
          <w:rFonts w:ascii="Times New Roman" w:hAnsi="Times New Roman" w:cs="Times New Roman"/>
          <w:bCs/>
          <w:sz w:val="22"/>
          <w:szCs w:val="22"/>
        </w:rPr>
        <w:t>/</w:t>
      </w:r>
      <w:r w:rsidR="00E51054" w:rsidRPr="0046051A">
        <w:rPr>
          <w:rFonts w:ascii="Times New Roman" w:hAnsi="Times New Roman" w:cs="Times New Roman"/>
          <w:bCs/>
          <w:sz w:val="22"/>
          <w:szCs w:val="22"/>
        </w:rPr>
        <w:t>peat</w:t>
      </w:r>
      <w:r w:rsidR="006346FB" w:rsidRPr="0046051A">
        <w:rPr>
          <w:rFonts w:ascii="Times New Roman" w:hAnsi="Times New Roman" w:cs="Times New Roman"/>
          <w:bCs/>
          <w:sz w:val="22"/>
          <w:szCs w:val="22"/>
        </w:rPr>
        <w:t>)</w:t>
      </w:r>
      <w:r w:rsidR="00E51054" w:rsidRPr="0046051A">
        <w:rPr>
          <w:rFonts w:ascii="Times New Roman" w:hAnsi="Times New Roman" w:cs="Times New Roman"/>
          <w:bCs/>
          <w:sz w:val="22"/>
          <w:szCs w:val="22"/>
        </w:rPr>
        <w:t>, infilled to 25 mm, and seeded with an 84% Kentucky bluegrass (</w:t>
      </w:r>
      <w:r w:rsidR="00E51054" w:rsidRPr="0046051A">
        <w:rPr>
          <w:rFonts w:ascii="Times New Roman" w:hAnsi="Times New Roman" w:cs="Times New Roman"/>
          <w:bCs/>
          <w:i/>
          <w:iCs/>
          <w:sz w:val="22"/>
          <w:szCs w:val="22"/>
        </w:rPr>
        <w:t>Poa pratensis</w:t>
      </w:r>
      <w:r w:rsidR="00E51054" w:rsidRPr="0046051A">
        <w:rPr>
          <w:rFonts w:ascii="Times New Roman" w:hAnsi="Times New Roman" w:cs="Times New Roman"/>
          <w:bCs/>
          <w:sz w:val="22"/>
          <w:szCs w:val="22"/>
        </w:rPr>
        <w:t xml:space="preserve"> L.) / 16% perennial ryegrass (</w:t>
      </w:r>
      <w:r w:rsidR="00E51054" w:rsidRPr="0046051A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Lolium </w:t>
      </w:r>
      <w:proofErr w:type="spellStart"/>
      <w:r w:rsidR="00E51054" w:rsidRPr="0046051A">
        <w:rPr>
          <w:rFonts w:ascii="Times New Roman" w:hAnsi="Times New Roman" w:cs="Times New Roman"/>
          <w:bCs/>
          <w:i/>
          <w:iCs/>
          <w:sz w:val="22"/>
          <w:szCs w:val="22"/>
        </w:rPr>
        <w:t>perenne</w:t>
      </w:r>
      <w:proofErr w:type="spellEnd"/>
      <w:r w:rsidR="00E51054" w:rsidRPr="0046051A">
        <w:rPr>
          <w:rFonts w:ascii="Times New Roman" w:hAnsi="Times New Roman" w:cs="Times New Roman"/>
          <w:bCs/>
          <w:sz w:val="22"/>
          <w:szCs w:val="22"/>
        </w:rPr>
        <w:t xml:space="preserve"> L.) mixture at 13 seeds in⁻². </w:t>
      </w:r>
      <w:r w:rsidR="0046668B" w:rsidRPr="0046051A">
        <w:rPr>
          <w:rFonts w:ascii="Times New Roman" w:hAnsi="Times New Roman" w:cs="Times New Roman"/>
          <w:bCs/>
          <w:sz w:val="22"/>
          <w:szCs w:val="22"/>
        </w:rPr>
        <w:t xml:space="preserve">Treatments were mown 3x weekly to 25 mm. </w:t>
      </w:r>
      <w:r w:rsidR="00E51054" w:rsidRPr="0046051A">
        <w:rPr>
          <w:rFonts w:ascii="Times New Roman" w:hAnsi="Times New Roman" w:cs="Times New Roman"/>
          <w:bCs/>
          <w:sz w:val="22"/>
          <w:szCs w:val="22"/>
        </w:rPr>
        <w:t xml:space="preserve">Beginning 10 weeks after establishment, plots received surface raking, vertical grooming (+3 mm), or both, applied weekly or monthly, with clippings either collected or returned. Treatments were applied for 12 months prior to harvest before being evaluated over a sand-based root zone and the </w:t>
      </w:r>
      <w:proofErr w:type="spellStart"/>
      <w:r w:rsidR="00E51054" w:rsidRPr="0046051A">
        <w:rPr>
          <w:rFonts w:ascii="Times New Roman" w:hAnsi="Times New Roman" w:cs="Times New Roman"/>
          <w:bCs/>
          <w:sz w:val="22"/>
          <w:szCs w:val="22"/>
        </w:rPr>
        <w:t>Permavoid</w:t>
      </w:r>
      <w:proofErr w:type="spellEnd"/>
      <w:r w:rsidR="00E51054" w:rsidRPr="0046051A">
        <w:rPr>
          <w:rFonts w:ascii="Times New Roman" w:hAnsi="Times New Roman" w:cs="Times New Roman"/>
          <w:bCs/>
          <w:sz w:val="22"/>
          <w:szCs w:val="22"/>
        </w:rPr>
        <w:t xml:space="preserve"> shallow profile. All treatments compared against a non-cultivated control.</w:t>
      </w:r>
    </w:p>
    <w:p w14:paraId="46348186" w14:textId="77777777" w:rsidR="0046051A" w:rsidRPr="0046051A" w:rsidRDefault="0046051A" w:rsidP="00E77C0D">
      <w:pPr>
        <w:spacing w:after="0" w:line="240" w:lineRule="auto"/>
        <w:contextualSpacing/>
        <w:rPr>
          <w:rFonts w:ascii="Times New Roman" w:hAnsi="Times New Roman" w:cs="Times New Roman"/>
          <w:bCs/>
          <w:sz w:val="22"/>
          <w:szCs w:val="22"/>
        </w:rPr>
      </w:pPr>
    </w:p>
    <w:p w14:paraId="7E411E02" w14:textId="77777777" w:rsidR="0046051A" w:rsidRPr="0046051A" w:rsidRDefault="0046051A" w:rsidP="0046051A">
      <w:pPr>
        <w:keepNext/>
        <w:spacing w:after="0" w:line="240" w:lineRule="auto"/>
        <w:contextualSpacing/>
        <w:jc w:val="center"/>
        <w:rPr>
          <w:sz w:val="22"/>
          <w:szCs w:val="22"/>
        </w:rPr>
      </w:pPr>
      <w:r w:rsidRPr="0046051A">
        <w:rPr>
          <w:rFonts w:ascii="Times New Roman" w:hAnsi="Times New Roman" w:cs="Times New Roman"/>
          <w:bCs/>
          <w:noProof/>
          <w:sz w:val="22"/>
          <w:szCs w:val="22"/>
        </w:rPr>
        <w:drawing>
          <wp:inline distT="0" distB="0" distL="0" distR="0" wp14:anchorId="7DDF9D28" wp14:editId="19777CE2">
            <wp:extent cx="3128210" cy="2304535"/>
            <wp:effectExtent l="19050" t="19050" r="15240" b="19685"/>
            <wp:docPr id="1838585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5858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8842" cy="2341835"/>
                    </a:xfrm>
                    <a:prstGeom prst="round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E0E82F0" w14:textId="3158F61B" w:rsidR="0046051A" w:rsidRPr="0046051A" w:rsidRDefault="0046051A" w:rsidP="0046051A">
      <w:pPr>
        <w:pStyle w:val="Caption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73161C">
        <w:rPr>
          <w:b/>
          <w:bCs/>
          <w:color w:val="000000" w:themeColor="text1"/>
        </w:rPr>
        <w:t xml:space="preserve">Figure </w:t>
      </w:r>
      <w:r w:rsidRPr="0073161C">
        <w:rPr>
          <w:b/>
          <w:bCs/>
          <w:color w:val="000000" w:themeColor="text1"/>
        </w:rPr>
        <w:fldChar w:fldCharType="begin"/>
      </w:r>
      <w:r w:rsidRPr="0073161C">
        <w:rPr>
          <w:b/>
          <w:bCs/>
          <w:color w:val="000000" w:themeColor="text1"/>
        </w:rPr>
        <w:instrText xml:space="preserve"> SEQ Figure \* ARABIC </w:instrText>
      </w:r>
      <w:r w:rsidRPr="0073161C">
        <w:rPr>
          <w:b/>
          <w:bCs/>
          <w:color w:val="000000" w:themeColor="text1"/>
        </w:rPr>
        <w:fldChar w:fldCharType="separate"/>
      </w:r>
      <w:r w:rsidR="0073161C">
        <w:rPr>
          <w:b/>
          <w:bCs/>
          <w:noProof/>
          <w:color w:val="000000" w:themeColor="text1"/>
        </w:rPr>
        <w:t>1</w:t>
      </w:r>
      <w:r w:rsidRPr="0073161C">
        <w:rPr>
          <w:b/>
          <w:bCs/>
          <w:color w:val="000000" w:themeColor="text1"/>
        </w:rPr>
        <w:fldChar w:fldCharType="end"/>
      </w:r>
      <w:r w:rsidRPr="0073161C">
        <w:rPr>
          <w:b/>
          <w:bCs/>
          <w:color w:val="000000" w:themeColor="text1"/>
        </w:rPr>
        <w:t xml:space="preserve">. </w:t>
      </w:r>
      <w:r w:rsidRPr="0046051A">
        <w:rPr>
          <w:color w:val="000000" w:themeColor="text1"/>
        </w:rPr>
        <w:t>Experimental site of hybrid hygiene trials in the south lot of the HTRC (East Lansing, MI, 2025).</w:t>
      </w:r>
    </w:p>
    <w:p w14:paraId="2538055F" w14:textId="12E0EBA5" w:rsidR="00E51054" w:rsidRPr="0046051A" w:rsidRDefault="00E51054" w:rsidP="00654150">
      <w:pPr>
        <w:spacing w:after="0" w:line="240" w:lineRule="auto"/>
        <w:contextualSpacing/>
        <w:rPr>
          <w:rFonts w:ascii="Times New Roman" w:hAnsi="Times New Roman" w:cs="Times New Roman"/>
          <w:bCs/>
          <w:sz w:val="22"/>
          <w:szCs w:val="22"/>
        </w:rPr>
      </w:pPr>
      <w:r w:rsidRPr="0046051A">
        <w:rPr>
          <w:rFonts w:ascii="Times New Roman" w:hAnsi="Times New Roman" w:cs="Times New Roman"/>
          <w:bCs/>
          <w:i/>
          <w:iCs/>
          <w:sz w:val="22"/>
          <w:szCs w:val="22"/>
        </w:rPr>
        <w:t>Key findings</w:t>
      </w:r>
      <w:r w:rsidRPr="0046051A">
        <w:rPr>
          <w:rFonts w:ascii="Times New Roman" w:hAnsi="Times New Roman" w:cs="Times New Roman"/>
          <w:bCs/>
          <w:sz w:val="22"/>
          <w:szCs w:val="22"/>
        </w:rPr>
        <w:t xml:space="preserve">: </w:t>
      </w:r>
    </w:p>
    <w:p w14:paraId="1DC0C67B" w14:textId="171816B1" w:rsidR="00055156" w:rsidRPr="0046051A" w:rsidRDefault="00055156" w:rsidP="000551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6051A">
        <w:rPr>
          <w:rFonts w:ascii="Times New Roman" w:hAnsi="Times New Roman" w:cs="Times New Roman"/>
          <w:bCs/>
          <w:sz w:val="22"/>
          <w:szCs w:val="22"/>
        </w:rPr>
        <w:t>Hygiene frequency and method significantly affected organic matter content, tiller density, rotational resistance, and divot resistance at 6 months after seeding; however, these effects were minimal following harvest and transplant at 12 months after establishment.</w:t>
      </w:r>
    </w:p>
    <w:p w14:paraId="565632F0" w14:textId="30B36116" w:rsidR="00055156" w:rsidRPr="0046051A" w:rsidRDefault="00AD0A91" w:rsidP="000551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6051A">
        <w:rPr>
          <w:rFonts w:ascii="Times New Roman" w:hAnsi="Times New Roman" w:cs="Times New Roman"/>
          <w:bCs/>
          <w:sz w:val="22"/>
          <w:szCs w:val="22"/>
        </w:rPr>
        <w:t xml:space="preserve">Treatments that were vertically groomed or surface raked on a weekly basis achieved the most desirable results. </w:t>
      </w:r>
    </w:p>
    <w:p w14:paraId="0896134B" w14:textId="029FA05C" w:rsidR="00982218" w:rsidRPr="00A16A6A" w:rsidRDefault="00055156" w:rsidP="0098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6051A">
        <w:rPr>
          <w:rFonts w:ascii="Times New Roman" w:hAnsi="Times New Roman" w:cs="Times New Roman"/>
          <w:bCs/>
          <w:sz w:val="22"/>
          <w:szCs w:val="22"/>
        </w:rPr>
        <w:t xml:space="preserve">An ideal hybrid hygiene program should begin </w:t>
      </w:r>
      <w:r w:rsidRPr="0046051A">
        <w:rPr>
          <w:rFonts w:ascii="Times New Roman" w:hAnsi="Times New Roman" w:cs="Times New Roman"/>
          <w:bCs/>
          <w:sz w:val="22"/>
          <w:szCs w:val="22"/>
          <w:u w:val="single"/>
        </w:rPr>
        <w:t>&gt;</w:t>
      </w:r>
      <w:r w:rsidRPr="0046051A">
        <w:rPr>
          <w:rFonts w:ascii="Times New Roman" w:hAnsi="Times New Roman" w:cs="Times New Roman"/>
          <w:bCs/>
          <w:sz w:val="22"/>
          <w:szCs w:val="22"/>
        </w:rPr>
        <w:t xml:space="preserve">10 weeks </w:t>
      </w:r>
      <w:r w:rsidRPr="0046051A">
        <w:rPr>
          <w:rFonts w:ascii="Times New Roman" w:hAnsi="Times New Roman" w:cs="Times New Roman"/>
          <w:bCs/>
          <w:sz w:val="22"/>
          <w:szCs w:val="22"/>
          <w:u w:val="single"/>
        </w:rPr>
        <w:t>&lt;</w:t>
      </w:r>
      <w:r w:rsidRPr="0046051A">
        <w:rPr>
          <w:rFonts w:ascii="Times New Roman" w:hAnsi="Times New Roman" w:cs="Times New Roman"/>
          <w:bCs/>
          <w:sz w:val="22"/>
          <w:szCs w:val="22"/>
        </w:rPr>
        <w:t xml:space="preserve"> 12 weeks after </w:t>
      </w:r>
      <w:proofErr w:type="gramStart"/>
      <w:r w:rsidRPr="0046051A">
        <w:rPr>
          <w:rFonts w:ascii="Times New Roman" w:hAnsi="Times New Roman" w:cs="Times New Roman"/>
          <w:bCs/>
          <w:sz w:val="22"/>
          <w:szCs w:val="22"/>
        </w:rPr>
        <w:t>seeding</w:t>
      </w:r>
      <w:proofErr w:type="gramEnd"/>
      <w:r w:rsidRPr="0046051A">
        <w:rPr>
          <w:rFonts w:ascii="Times New Roman" w:hAnsi="Times New Roman" w:cs="Times New Roman"/>
          <w:bCs/>
          <w:sz w:val="22"/>
          <w:szCs w:val="22"/>
        </w:rPr>
        <w:t>. Frequency of cultivation should be tailored to the growing climate</w:t>
      </w:r>
      <w:r w:rsidR="00AD0A91" w:rsidRPr="0046051A">
        <w:rPr>
          <w:rFonts w:ascii="Times New Roman" w:hAnsi="Times New Roman" w:cs="Times New Roman"/>
          <w:bCs/>
          <w:sz w:val="22"/>
          <w:szCs w:val="22"/>
        </w:rPr>
        <w:t xml:space="preserve"> and species being established</w:t>
      </w:r>
      <w:r w:rsidRPr="0046051A">
        <w:rPr>
          <w:rFonts w:ascii="Times New Roman" w:hAnsi="Times New Roman" w:cs="Times New Roman"/>
          <w:bCs/>
          <w:sz w:val="22"/>
          <w:szCs w:val="22"/>
        </w:rPr>
        <w:t>.</w:t>
      </w:r>
    </w:p>
    <w:sectPr w:rsidR="00982218" w:rsidRPr="00A16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4BAA"/>
    <w:multiLevelType w:val="hybridMultilevel"/>
    <w:tmpl w:val="FB0A4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8650E"/>
    <w:multiLevelType w:val="hybridMultilevel"/>
    <w:tmpl w:val="2E0CD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D6040"/>
    <w:multiLevelType w:val="hybridMultilevel"/>
    <w:tmpl w:val="03AC20DA"/>
    <w:lvl w:ilvl="0" w:tplc="A2BC837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D8"/>
    <w:multiLevelType w:val="hybridMultilevel"/>
    <w:tmpl w:val="968AC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76514"/>
    <w:multiLevelType w:val="hybridMultilevel"/>
    <w:tmpl w:val="00E0030A"/>
    <w:lvl w:ilvl="0" w:tplc="0368F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16F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DAE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20D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42D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C6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83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78E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6C5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58442590">
    <w:abstractNumId w:val="2"/>
  </w:num>
  <w:num w:numId="2" w16cid:durableId="260727252">
    <w:abstractNumId w:val="3"/>
  </w:num>
  <w:num w:numId="3" w16cid:durableId="1496066766">
    <w:abstractNumId w:val="4"/>
  </w:num>
  <w:num w:numId="4" w16cid:durableId="303660477">
    <w:abstractNumId w:val="1"/>
  </w:num>
  <w:num w:numId="5" w16cid:durableId="158742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50"/>
    <w:rsid w:val="00055156"/>
    <w:rsid w:val="00114FE6"/>
    <w:rsid w:val="00220C70"/>
    <w:rsid w:val="0025360B"/>
    <w:rsid w:val="003157F4"/>
    <w:rsid w:val="003C7C49"/>
    <w:rsid w:val="003E03D4"/>
    <w:rsid w:val="0046051A"/>
    <w:rsid w:val="0046668B"/>
    <w:rsid w:val="00542FA6"/>
    <w:rsid w:val="00574FD7"/>
    <w:rsid w:val="005C011B"/>
    <w:rsid w:val="006346FB"/>
    <w:rsid w:val="00654150"/>
    <w:rsid w:val="0073161C"/>
    <w:rsid w:val="00784BF6"/>
    <w:rsid w:val="007866F4"/>
    <w:rsid w:val="00982218"/>
    <w:rsid w:val="00A16A6A"/>
    <w:rsid w:val="00AC7309"/>
    <w:rsid w:val="00AD0A91"/>
    <w:rsid w:val="00AD663F"/>
    <w:rsid w:val="00B019ED"/>
    <w:rsid w:val="00C36408"/>
    <w:rsid w:val="00CE5DC4"/>
    <w:rsid w:val="00D27334"/>
    <w:rsid w:val="00DE3974"/>
    <w:rsid w:val="00E51054"/>
    <w:rsid w:val="00E6087E"/>
    <w:rsid w:val="00E7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ADD69"/>
  <w15:chartTrackingRefBased/>
  <w15:docId w15:val="{AA41A4ED-6DE3-47C4-AB26-17BC1752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15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3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2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46051A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b1c019-6385-4a6a-a390-43e9fad3b11e" xsi:nil="true"/>
    <lcf76f155ced4ddcb4097134ff3c332f xmlns="259b510f-9d3f-4341-8a92-3c004a7b19a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8EB98D9951E46ACEAC7E09C077EA7" ma:contentTypeVersion="16" ma:contentTypeDescription="Create a new document." ma:contentTypeScope="" ma:versionID="22a920362a2e8cb9e8b1fcbff4a7bc92">
  <xsd:schema xmlns:xsd="http://www.w3.org/2001/XMLSchema" xmlns:xs="http://www.w3.org/2001/XMLSchema" xmlns:p="http://schemas.microsoft.com/office/2006/metadata/properties" xmlns:ns2="259b510f-9d3f-4341-8a92-3c004a7b19a0" xmlns:ns3="5eb1c019-6385-4a6a-a390-43e9fad3b11e" targetNamespace="http://schemas.microsoft.com/office/2006/metadata/properties" ma:root="true" ma:fieldsID="5a4a8cce80458d5e836a4a00c6d4d6b5" ns2:_="" ns3:_="">
    <xsd:import namespace="259b510f-9d3f-4341-8a92-3c004a7b19a0"/>
    <xsd:import namespace="5eb1c019-6385-4a6a-a390-43e9fad3b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b510f-9d3f-4341-8a92-3c004a7b1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1c019-6385-4a6a-a390-43e9fad3b11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ad05f8a-b433-4e7d-98fb-353aec4db6da}" ma:internalName="TaxCatchAll" ma:showField="CatchAllData" ma:web="5eb1c019-6385-4a6a-a390-43e9fad3b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25FCCA-4E3F-4A7F-896C-F9D0F28D570B}">
  <ds:schemaRefs>
    <ds:schemaRef ds:uri="http://schemas.microsoft.com/office/2006/metadata/properties"/>
    <ds:schemaRef ds:uri="http://schemas.microsoft.com/office/infopath/2007/PartnerControls"/>
    <ds:schemaRef ds:uri="5eb1c019-6385-4a6a-a390-43e9fad3b11e"/>
    <ds:schemaRef ds:uri="259b510f-9d3f-4341-8a92-3c004a7b19a0"/>
  </ds:schemaRefs>
</ds:datastoreItem>
</file>

<file path=customXml/itemProps2.xml><?xml version="1.0" encoding="utf-8"?>
<ds:datastoreItem xmlns:ds="http://schemas.openxmlformats.org/officeDocument/2006/customXml" ds:itemID="{03EA3DA7-D9BD-4DDA-8658-C2BD83FAD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b510f-9d3f-4341-8a92-3c004a7b19a0"/>
    <ds:schemaRef ds:uri="5eb1c019-6385-4a6a-a390-43e9fad3b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F3FA68-6221-42A7-8272-B15313A2C13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1915</Characters>
  <Application>Microsoft Office Word</Application>
  <DocSecurity>4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Bearss, Ryan</dc:creator>
  <cp:keywords/>
  <dc:description/>
  <cp:lastModifiedBy>Rabe, Mike</cp:lastModifiedBy>
  <cp:revision>2</cp:revision>
  <dcterms:created xsi:type="dcterms:W3CDTF">2026-03-07T04:42:00Z</dcterms:created>
  <dcterms:modified xsi:type="dcterms:W3CDTF">2026-03-07T04:42:00Z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0x010100FB78EB98D9951E46ACEAC7E09C077EA7</vt:lpwstr>
  </property>
</Properties>
</file>